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line="269" w:lineRule="auto"/>
        <w:jc w:val="center"/>
      </w:pPr>
      <w:r>
        <w:rPr>
          <w:rFonts w:ascii="Liberation Sans" w:hAnsi="Liberation Sans" w:eastAsia="Liberation Sans"/>
          <w:b/>
          <w:i w:val="0"/>
          <w:color w:val="2A78C5"/>
          <w:sz w:val="30"/>
        </w:rPr>
        <w:t>TUNETUNE / JOYJOY</w:t>
      </w:r>
    </w:p>
    <w:p>
      <w:pPr>
        <w:keepNext/>
        <w:jc w:val="center"/>
      </w:pPr>
      <w:r>
        <w:rPr>
          <w:rFonts w:ascii="Liberation Sans" w:hAnsi="Liberation Sans" w:eastAsia="Liberation Sans"/>
          <w:b/>
          <w:i w:val="0"/>
          <w:color w:val="173E6A"/>
          <w:sz w:val="48"/>
        </w:rPr>
        <w:t>ПУБЛИЧНАЯ ОФЕРТА</w:t>
      </w:r>
    </w:p>
    <w:p>
      <w:pPr>
        <w:spacing w:before="0" w:after="80" w:line="269" w:lineRule="auto"/>
        <w:jc w:val="center"/>
        <w:pBdr>
          <w:bottom w:val="single" w:sz="10" w:space="1" w:color="2A78C5"/>
        </w:pBdr>
      </w:pPr>
    </w:p>
    <w:p>
      <w:pPr>
        <w:spacing w:before="40" w:after="40" w:line="269" w:lineRule="auto"/>
        <w:jc w:val="center"/>
      </w:pPr>
      <w:r>
        <w:rPr>
          <w:rFonts w:ascii="Liberation Sans" w:hAnsi="Liberation Sans" w:eastAsia="Liberation Sans"/>
          <w:b w:val="0"/>
          <w:i/>
          <w:color w:val="666666"/>
          <w:sz w:val="23"/>
        </w:rPr>
        <w:t>на оказание платных цифровых услуг JoyJoy</w:t>
      </w:r>
    </w:p>
    <w:p>
      <w:pPr>
        <w:spacing w:before="0" w:after="140" w:line="269" w:lineRule="auto"/>
        <w:jc w:val="center"/>
      </w:pPr>
      <w:r>
        <w:t>Редакция от 22 июля 2026 года (редакция 2)</w:t>
      </w:r>
    </w:p>
    <w:tbl>
      <w:tblPr>
        <w:tblW w:type="auto" w:w="0"/>
        <w:jc w:val="center"/>
        <w:tblLayout w:type="fixed"/>
        <w:tblLook w:firstColumn="1" w:firstRow="1" w:lastColumn="0" w:lastRow="0" w:noHBand="0" w:noVBand="1" w:val="04A0"/>
      </w:tblPr>
      <w:tblGrid>
        <w:gridCol w:w="3685"/>
        <w:gridCol w:w="5953"/>
      </w:tblGrid>
      <w:tr>
        <w:tc>
          <w:tcPr>
            <w:tcW w:type="dxa" w:w="3685"/>
            <w:shd w:fill="EAF3FA"/>
            <w:tcMar>
              <w:top w:w="90" w:type="dxa"/>
              <w:start w:w="120" w:type="dxa"/>
              <w:bottom w:w="90" w:type="dxa"/>
              <w:end w:w="120" w:type="dxa"/>
            </w:tcMar>
            <w:vAlign w:val="center"/>
          </w:tcPr>
          <w:p>
            <w:r>
              <w:rPr>
                <w:rFonts w:ascii="Liberation Sans" w:hAnsi="Liberation Sans" w:eastAsia="Liberation Sans"/>
                <w:b/>
                <w:i w:val="0"/>
                <w:sz w:val="21"/>
              </w:rPr>
              <w:t>Статус документа</w:t>
            </w:r>
          </w:p>
        </w:tc>
        <w:tc>
          <w:tcPr>
            <w:tcW w:type="dxa" w:w="5953"/>
            <w:tcMar>
              <w:top w:w="90" w:type="dxa"/>
              <w:start w:w="120" w:type="dxa"/>
              <w:bottom w:w="90" w:type="dxa"/>
              <w:end w:w="120" w:type="dxa"/>
            </w:tcMar>
            <w:vAlign w:val="center"/>
          </w:tcPr>
          <w:p>
            <w:r>
              <w:rPr>
                <w:rFonts w:ascii="Liberation Sans" w:hAnsi="Liberation Sans" w:eastAsia="Liberation Sans"/>
                <w:b w:val="0"/>
                <w:i w:val="0"/>
                <w:sz w:val="21"/>
              </w:rPr>
              <w:t>Публичный документ</w:t>
            </w:r>
          </w:p>
        </w:tc>
      </w:tr>
    </w:tbl>
    <w:p>
      <w:pPr>
        <w:spacing w:after="20"/>
      </w:pPr>
    </w:p>
    <w:tbl>
      <w:tblPr>
        <w:tblW w:type="auto" w:w="0"/>
        <w:jc w:val="center"/>
        <w:tblLayout w:type="autofit"/>
        <w:tblLook w:firstColumn="1" w:firstRow="1" w:lastColumn="0" w:lastRow="0" w:noHBand="0" w:noVBand="1" w:val="04A0"/>
      </w:tblPr>
      <w:tblGrid>
        <w:gridCol w:w="9922"/>
      </w:tblGrid>
      <w:tr>
        <w:tc>
          <w:tcPr>
            <w:tcW w:type="dxa" w:w="9922"/>
            <w:shd w:fill="E8F5EA"/>
            <w:tcMar>
              <w:top w:w="120" w:type="dxa"/>
              <w:start w:w="140" w:type="dxa"/>
              <w:bottom w:w="120" w:type="dxa"/>
              <w:end w:w="140" w:type="dxa"/>
            </w:tcMar>
          </w:tcPr>
          <w:p>
            <w:r>
              <w:t>Важно</w:t>
              <w:br/>
              <w:t>Автопродление подключается только по отдельному согласию и может быть отключено до следующего списания. Смена тарифа действует только со следующего оплаченного периода по полной стоимости; доплата и перерасчёт текущего периода не применяются.</w:t>
            </w:r>
          </w:p>
        </w:tc>
      </w:tr>
    </w:tbl>
    <w:p>
      <w:pPr>
        <w:spacing w:after="20"/>
      </w:pPr>
    </w:p>
    <w:p>
      <w:pPr>
        <w:pStyle w:val="Heading1"/>
      </w:pPr>
      <w:r>
        <w:t>1. Общие положения</w:t>
      </w:r>
    </w:p>
    <w:p>
      <w:pPr>
        <w:spacing w:before="0" w:after="100" w:line="269" w:lineRule="auto"/>
      </w:pPr>
      <w:r>
        <w:rPr>
          <w:rFonts w:ascii="Liberation Sans" w:hAnsi="Liberation Sans" w:eastAsia="Liberation Sans"/>
          <w:b w:val="0"/>
          <w:i w:val="0"/>
          <w:sz w:val="21"/>
        </w:rPr>
        <w:t>1.1. Настоящий документ является публичным предложением Исаева Надия Фазыловна, плательщика налога на профессиональный доход, ИНН 772470176923 (далее - «Исполнитель»), заключить договор оказания платных цифровых услуг на изложенных условиях.</w:t>
      </w:r>
    </w:p>
    <w:p>
      <w:pPr>
        <w:spacing w:before="0" w:after="100" w:line="269" w:lineRule="auto"/>
      </w:pPr>
      <w:r>
        <w:rPr>
          <w:rFonts w:ascii="Liberation Sans" w:hAnsi="Liberation Sans" w:eastAsia="Liberation Sans"/>
          <w:b w:val="0"/>
          <w:i w:val="0"/>
          <w:sz w:val="21"/>
        </w:rPr>
        <w:t>1.2. Сайт: https://tunetune.ru. Электронная почта: support@joyjoybots.ru. Телефон: +7 977 317-24-64. Почтовый адрес: [УКАЗАТЬ ПОЧТОВЫЙ АДРЕС ДЛЯ ЮРИДИЧЕСКИ ЗНАЧИМЫХ СООБЩЕНИЙ].</w:t>
      </w:r>
    </w:p>
    <w:p>
      <w:pPr>
        <w:spacing w:before="0" w:after="100" w:line="269" w:lineRule="auto"/>
      </w:pPr>
      <w:r>
        <w:t>1.3. Акцептом является подтверждение параметров Заказа и его оплата после отображения существенных условий. Автопродление подключается только по отдельному, явно выраженному согласию на повторные списания. Согласия на обработку персональных данных и рекламу оформляются отдельно.</w:t>
      </w:r>
    </w:p>
    <w:p>
      <w:pPr>
        <w:spacing w:before="0" w:after="100" w:line="269" w:lineRule="auto"/>
      </w:pPr>
      <w:r>
        <w:rPr>
          <w:rFonts w:ascii="Liberation Sans" w:hAnsi="Liberation Sans" w:eastAsia="Liberation Sans"/>
          <w:b w:val="0"/>
          <w:i w:val="0"/>
          <w:sz w:val="21"/>
        </w:rPr>
        <w:t>1.4. К отношениям с потребителем применяются обязательные нормы законодательства Российской Федерации. Условия Оферты не уменьшают права, которые нельзя ограничить договором.</w:t>
      </w:r>
    </w:p>
    <w:p>
      <w:pPr>
        <w:pStyle w:val="Heading1"/>
      </w:pPr>
      <w:r>
        <w:t>2. Термины</w:t>
      </w:r>
    </w:p>
    <w:p>
      <w:pPr>
        <w:pStyle w:val="LegalBullet"/>
        <w:spacing w:before="0" w:after="50" w:line="269" w:lineRule="auto"/>
      </w:pPr>
      <w:r>
        <w:rPr>
          <w:rFonts w:ascii="Liberation Sans" w:hAnsi="Liberation Sans" w:eastAsia="Liberation Sans"/>
          <w:b/>
          <w:i w:val="0"/>
          <w:color w:val="2A78C5"/>
          <w:sz w:val="21"/>
        </w:rPr>
        <w:t xml:space="preserve">•  </w:t>
      </w:r>
      <w:r>
        <w:rPr>
          <w:rFonts w:ascii="Liberation Sans" w:hAnsi="Liberation Sans" w:eastAsia="Liberation Sans"/>
          <w:b/>
          <w:i w:val="0"/>
          <w:sz w:val="21"/>
        </w:rPr>
        <w:t>Сервис</w:t>
      </w:r>
      <w:r>
        <w:rPr>
          <w:rFonts w:ascii="Liberation Sans" w:hAnsi="Liberation Sans" w:eastAsia="Liberation Sans"/>
          <w:b w:val="0"/>
          <w:i w:val="0"/>
          <w:sz w:val="21"/>
        </w:rPr>
        <w:t xml:space="preserve"> - сайт, личный кабинет и платные функции TuneTune, Shieldy или Gamey.</w:t>
      </w:r>
    </w:p>
    <w:p>
      <w:pPr>
        <w:pStyle w:val="LegalBullet"/>
        <w:spacing w:before="0" w:after="50" w:line="269" w:lineRule="auto"/>
      </w:pPr>
      <w:r>
        <w:t>•  Заказ - выбранный бот, тариф, период, лимит серверов, цена, скидка, способ оплаты и вид операции: первичная покупка, автоматическое продление либо выбор тарифа для следующего расчётного периода.</w:t>
      </w:r>
    </w:p>
    <w:p>
      <w:pPr>
        <w:pStyle w:val="LegalBullet"/>
        <w:spacing w:before="0" w:after="50" w:line="269" w:lineRule="auto"/>
      </w:pPr>
      <w:r>
        <w:rPr>
          <w:rFonts w:ascii="Liberation Sans" w:hAnsi="Liberation Sans" w:eastAsia="Liberation Sans"/>
          <w:b/>
          <w:i w:val="0"/>
          <w:color w:val="2A78C5"/>
          <w:sz w:val="21"/>
        </w:rPr>
        <w:t xml:space="preserve">•  </w:t>
      </w:r>
      <w:r>
        <w:rPr>
          <w:rFonts w:ascii="Liberation Sans" w:hAnsi="Liberation Sans" w:eastAsia="Liberation Sans"/>
          <w:b/>
          <w:i w:val="0"/>
          <w:sz w:val="21"/>
        </w:rPr>
        <w:t>Расчётный период</w:t>
      </w:r>
      <w:r>
        <w:rPr>
          <w:rFonts w:ascii="Liberation Sans" w:hAnsi="Liberation Sans" w:eastAsia="Liberation Sans"/>
          <w:b w:val="0"/>
          <w:i w:val="0"/>
          <w:sz w:val="21"/>
        </w:rPr>
        <w:t xml:space="preserve"> - оплаченный срок 1, 3, 6 или 12 месяцев.</w:t>
      </w:r>
    </w:p>
    <w:p>
      <w:pPr>
        <w:pStyle w:val="LegalBullet"/>
        <w:spacing w:before="0" w:after="50" w:line="269" w:lineRule="auto"/>
      </w:pPr>
      <w:r>
        <w:t>•  Разовая оплата - однократный платёж за выбранный срок без последующих автоматических списаний.</w:t>
      </w:r>
    </w:p>
    <w:p>
      <w:pPr>
        <w:pStyle w:val="LegalBullet"/>
        <w:spacing w:before="0" w:after="50" w:line="269" w:lineRule="auto"/>
      </w:pPr>
      <w:r>
        <w:t>•  Автопродление - повторное списание по окончании оплаченного периода на основании отдельного согласия. Смена тарифа - выбор любого уровня Premium для следующего периода без доплаты, перерасчёта или немедленного изменения текущего доступа.</w:t>
      </w:r>
    </w:p>
    <w:p>
      <w:pPr>
        <w:pStyle w:val="Heading1"/>
      </w:pPr>
      <w:r>
        <w:t>3. Предмет договора</w:t>
      </w:r>
    </w:p>
    <w:p>
      <w:pPr>
        <w:spacing w:before="0" w:after="100" w:line="269" w:lineRule="auto"/>
      </w:pPr>
      <w:r>
        <w:rPr>
          <w:rFonts w:ascii="Liberation Sans" w:hAnsi="Liberation Sans" w:eastAsia="Liberation Sans"/>
          <w:b w:val="0"/>
          <w:i w:val="0"/>
          <w:sz w:val="21"/>
        </w:rPr>
        <w:t>Исполнитель предоставляет временный доступ к Premium-функциям выбранного бота на серверах Lolka в пределах оплаченного тарифа и срока. Услуга является длящейся цифровой услугой и считается предоставляемой в период доступности оплаченных возможностей.</w:t>
      </w:r>
    </w:p>
    <w:p>
      <w:pPr>
        <w:pStyle w:val="Heading1"/>
      </w:pPr>
      <w:r>
        <w:t>4. Боты и раздельность подписок</w:t>
      </w:r>
    </w:p>
    <w:p>
      <w:pPr>
        <w:spacing w:before="0" w:after="100" w:line="269" w:lineRule="auto"/>
      </w:pPr>
      <w:r>
        <w:t>Подписка оформляется отдельно для TuneTune, Shieldy или Gamey. Каждый Заказ относится только к одному выбранному боту. Оплата одного бота не открывает Premium другого бота. Комплексные заказы, объединённые подписки и скидки за одновременную покупку нескольких ботов не предоставляются. Возврат, отмена и смена тарифа по одному боту сами по себе не изменяют подписки других ботов.</w:t>
      </w:r>
    </w:p>
    <w:p>
      <w:pPr>
        <w:pStyle w:val="Heading1"/>
      </w:pPr>
      <w:r>
        <w:t>5. Уровни и лимиты</w:t>
      </w:r>
    </w:p>
    <w:p>
      <w:pPr>
        <w:spacing w:before="0" w:after="100" w:line="269" w:lineRule="auto"/>
      </w:pPr>
      <w:r>
        <w:rPr>
          <w:rFonts w:ascii="Liberation Sans" w:hAnsi="Liberation Sans" w:eastAsia="Liberation Sans"/>
          <w:b w:val="0"/>
          <w:i w:val="0"/>
          <w:sz w:val="21"/>
        </w:rPr>
        <w:t>Premium, Premium Plus и Premium Max предоставляют одинаковый состав Premium-функций выбранного бота. Тарифы отличаются количеством серверов, на которых может быть активирован Premium, и статусной ролью или оформлением. На дату редакции рабочие лимиты составляют до 2, 4 и 7 серверов соответственно; юридически значимым является лимит, показанный до оплаты в конкретном Заказе.</w:t>
      </w:r>
    </w:p>
    <w:p>
      <w:pPr>
        <w:pStyle w:val="Heading1"/>
      </w:pPr>
      <w:r>
        <w:t>6. Цена и оформление заказа</w:t>
      </w:r>
    </w:p>
    <w:p>
      <w:pPr>
        <w:spacing w:before="0" w:after="100" w:line="269" w:lineRule="auto"/>
      </w:pPr>
      <w:r>
        <w:t>Цена указывается в рублях и показывается до подтверждения вместе с ботом, тарифом, периодом, скидкой, итоговой суммой, лимитом серверов, датой активации и видом операции. При автопродлении отдельно показываются сумма и дата следующего списания. Публичная страница Premium носит информационный характер; покупка выполняется только в личном кабинете. Способы оплаты предоставляет Robokassa. Исполнитель не получает полный номер карты, CVC/CVV и банковский пароль.</w:t>
      </w:r>
    </w:p>
    <w:p>
      <w:pPr>
        <w:pStyle w:val="Heading1"/>
      </w:pPr>
      <w:r>
        <w:t>7. Активация</w:t>
      </w:r>
    </w:p>
    <w:p>
      <w:pPr>
        <w:spacing w:before="0" w:after="100" w:line="269" w:lineRule="auto"/>
      </w:pPr>
      <w:r>
        <w:rPr>
          <w:rFonts w:ascii="Liberation Sans" w:hAnsi="Liberation Sans" w:eastAsia="Liberation Sans"/>
          <w:b w:val="0"/>
          <w:i w:val="0"/>
          <w:sz w:val="21"/>
        </w:rPr>
        <w:t>Доступ обычно активируется автоматически после подтверждения оплаты, как правило, до 15 минут. При технической проверке срок может составить до 24 часов, если перед оплатой не указан иной срок. Пользователь обязан выбрать доступные серверы и иметь полномочия для настройки бота.</w:t>
      </w:r>
    </w:p>
    <w:p>
      <w:pPr>
        <w:pStyle w:val="Heading1"/>
      </w:pPr>
      <w:r>
        <w:t>8. Платежи, автопродление и окончание периода</w:t>
      </w:r>
    </w:p>
    <w:p>
      <w:pPr>
        <w:spacing w:before="0" w:after="100" w:line="269" w:lineRule="auto"/>
      </w:pPr>
      <w:r>
        <w:t>8.1. Первый период 1, 3, 6 или 12 месяцев оплачивается отдельным Заказом. Пользователь может выбрать разовую оплату либо автопродление. Автопродление подключается только после отдельного согласия и успешного первого платежа способом, поддерживающим повторные списания.</w:t>
      </w:r>
    </w:p>
    <w:p>
      <w:pPr>
        <w:spacing w:before="0" w:after="100" w:line="269" w:lineRule="auto"/>
      </w:pPr>
      <w:r>
        <w:t>8.2. При включённом автопродлении в дату окончания периода списывается полная заранее показанная стоимость выбранного для следующего периода тарифа. Скидка первого платежа, доплата за остаток срока, перерасчёт и зачёт ранее уплаченной суммы не применяются.</w:t>
      </w:r>
    </w:p>
    <w:p>
      <w:pPr>
        <w:spacing w:before="0" w:after="100" w:line="269" w:lineRule="auto"/>
      </w:pPr>
      <w:r>
        <w:t>8.3. Пользователь вправе отключить автопродление до передачи следующего списания в Robokassa. Уже оплаченный доступ продолжает действовать до окончания периода. Отключение автопродления также отменяет запланированную смену тарифа, если иное не согласовано с поддержкой.</w:t>
      </w:r>
    </w:p>
    <w:p>
      <w:pPr>
        <w:spacing w:before="0" w:after="100" w:line="269" w:lineRule="auto"/>
      </w:pPr>
      <w:r>
        <w:t>8.4. Неоплаченный Заказ может быть закрыт пользователем в личном кабинете, при этом запись сохраняется в истории. Оплаченный Заказ не считается отменённым простой сменой статуса. Для отказа от услуги или возврата пользователь направляет обращение Исполнителю; возврат оформляется фактически, с выдачей необходимых кассовых документов.</w:t>
      </w:r>
    </w:p>
    <w:p>
      <w:pPr>
        <w:spacing w:before="0" w:after="100" w:line="269" w:lineRule="auto"/>
      </w:pPr>
      <w:r>
        <w:t>8.5. Неуспешное повторное списание не образует задолженность и не продлевает доступ. Исполнитель может повторно проверить статус платежа в разумный технический срок. Если оплата не подтверждена, Premium прекращается по окончании оплаченного периода.</w:t>
      </w:r>
    </w:p>
    <w:p>
      <w:pPr>
        <w:pStyle w:val="Heading1"/>
      </w:pPr>
      <w:r>
        <w:t>9. Смена тарифа</w:t>
      </w:r>
    </w:p>
    <w:p>
      <w:pPr>
        <w:spacing w:before="0" w:after="100" w:line="269" w:lineRule="auto"/>
      </w:pPr>
      <w:r>
        <w:t>9.1. Во время оплаченного периода пользователь может выбрать для следующего расчётного периода любой уровень Premium, Premium Plus или Premium Max и допустимый срок.</w:t>
      </w:r>
    </w:p>
    <w:p>
      <w:pPr>
        <w:spacing w:before="0" w:after="100" w:line="269" w:lineRule="auto"/>
      </w:pPr>
      <w:r>
        <w:t>9.2. Выбор нового тарифа не изменяет текущий тариф и не создаёт платёж в момент выбора. Текущий тариф, лимит серверов и срок сохраняются до окончания уже оплаченного периода.</w:t>
      </w:r>
    </w:p>
    <w:p>
      <w:pPr>
        <w:spacing w:before="0" w:after="100" w:line="269" w:lineRule="auto"/>
      </w:pPr>
      <w:r>
        <w:t>9.3. В дату следующего списания оплачивается полная стоимость выбранного тарифа за выбранный период. Новый тариф включается только после подтверждения этого платежа Robokassa.</w:t>
      </w:r>
    </w:p>
    <w:p>
      <w:pPr>
        <w:spacing w:before="0" w:after="100" w:line="269" w:lineRule="auto"/>
      </w:pPr>
      <w:r>
        <w:t>9.4. Доплата за оставшиеся дни, пропорциональный перерасчёт, возврат разницы и зачёт стоимости текущего тарифа не применяются независимо от направления смены.</w:t>
      </w:r>
    </w:p>
    <w:p>
      <w:pPr>
        <w:spacing w:before="0" w:after="100" w:line="269" w:lineRule="auto"/>
      </w:pPr>
      <w:r>
        <w:t>9.5. Запланированный тариф можно изменить до передачи повторного списания в Robokassa. Последний подтверждённый выбор заменяет предыдущий и применяется со следующего оплаченного периода.</w:t>
      </w:r>
    </w:p>
    <w:p>
      <w:pPr>
        <w:spacing w:before="0" w:after="100" w:line="269" w:lineRule="auto"/>
      </w:pPr>
      <w:r>
        <w:t>9.6. При переходе на меньший лимит пользователь обязан до начала нового периода выбрать серверы в пределах нового лимита. На остальных серверах после начала нового периода сохраняются бесплатные функции.</w:t>
      </w:r>
    </w:p>
    <w:p>
      <w:pPr>
        <w:spacing w:before="0" w:after="100" w:line="269" w:lineRule="auto"/>
      </w:pPr>
      <w:r>
        <w:t>9.7. Досрочное изменение уже оплаченного тарифа не выполняется автоматически. Вопрос досрочного прекращения услуги или возврата рассматривается по разделу 11 и обязательным нормам законодательства.</w:t>
      </w:r>
    </w:p>
    <w:p>
      <w:pPr>
        <w:pStyle w:val="Heading1"/>
      </w:pPr>
      <w:r>
        <w:t>10. Права и обязанности</w:t>
      </w:r>
    </w:p>
    <w:p>
      <w:pPr>
        <w:pStyle w:val="LegalBullet"/>
        <w:spacing w:before="0" w:after="50" w:line="269" w:lineRule="auto"/>
      </w:pPr>
      <w:r>
        <w:rPr>
          <w:rFonts w:ascii="Liberation Sans" w:hAnsi="Liberation Sans" w:eastAsia="Liberation Sans"/>
          <w:b/>
          <w:i w:val="0"/>
          <w:color w:val="2A78C5"/>
          <w:sz w:val="21"/>
        </w:rPr>
        <w:t xml:space="preserve">•  </w:t>
      </w:r>
      <w:r>
        <w:rPr>
          <w:rFonts w:ascii="Liberation Sans" w:hAnsi="Liberation Sans" w:eastAsia="Liberation Sans"/>
          <w:b w:val="0"/>
          <w:i w:val="0"/>
          <w:sz w:val="21"/>
        </w:rPr>
        <w:t>Исполнитель предоставляет оплаченный доступ, чек и понятную информацию до оплаты;</w:t>
      </w:r>
    </w:p>
    <w:p>
      <w:pPr>
        <w:pStyle w:val="LegalBullet"/>
        <w:spacing w:before="0" w:after="50" w:line="269" w:lineRule="auto"/>
      </w:pPr>
      <w:r>
        <w:rPr>
          <w:rFonts w:ascii="Liberation Sans" w:hAnsi="Liberation Sans" w:eastAsia="Liberation Sans"/>
          <w:b/>
          <w:i w:val="0"/>
          <w:color w:val="2A78C5"/>
          <w:sz w:val="21"/>
        </w:rPr>
        <w:t xml:space="preserve">•  </w:t>
      </w:r>
      <w:r>
        <w:rPr>
          <w:rFonts w:ascii="Liberation Sans" w:hAnsi="Liberation Sans" w:eastAsia="Liberation Sans"/>
          <w:b w:val="0"/>
          <w:i w:val="0"/>
          <w:sz w:val="21"/>
        </w:rPr>
        <w:t>Исполнитель вправе проводить технические работы и применять меры безопасности без необоснованного уменьшения оплаченного объёма;</w:t>
      </w:r>
    </w:p>
    <w:p>
      <w:pPr>
        <w:pStyle w:val="LegalBullet"/>
        <w:spacing w:before="0" w:after="50" w:line="269" w:lineRule="auto"/>
      </w:pPr>
      <w:r>
        <w:rPr>
          <w:rFonts w:ascii="Liberation Sans" w:hAnsi="Liberation Sans" w:eastAsia="Liberation Sans"/>
          <w:b/>
          <w:i w:val="0"/>
          <w:color w:val="2A78C5"/>
          <w:sz w:val="21"/>
        </w:rPr>
        <w:t xml:space="preserve">•  </w:t>
      </w:r>
      <w:r>
        <w:rPr>
          <w:rFonts w:ascii="Liberation Sans" w:hAnsi="Liberation Sans" w:eastAsia="Liberation Sans"/>
          <w:b w:val="0"/>
          <w:i w:val="0"/>
          <w:sz w:val="21"/>
        </w:rPr>
        <w:t>Пользователь хранит доступы, выбирает серверы и соблюдает закон и правила Lolka;</w:t>
      </w:r>
    </w:p>
    <w:p>
      <w:pPr>
        <w:pStyle w:val="LegalBullet"/>
        <w:spacing w:before="0" w:after="50" w:line="269" w:lineRule="auto"/>
      </w:pPr>
      <w:r>
        <w:rPr>
          <w:rFonts w:ascii="Liberation Sans" w:hAnsi="Liberation Sans" w:eastAsia="Liberation Sans"/>
          <w:b/>
          <w:i w:val="0"/>
          <w:color w:val="2A78C5"/>
          <w:sz w:val="21"/>
        </w:rPr>
        <w:t xml:space="preserve">•  </w:t>
      </w:r>
      <w:r>
        <w:rPr>
          <w:rFonts w:ascii="Liberation Sans" w:hAnsi="Liberation Sans" w:eastAsia="Liberation Sans"/>
          <w:b w:val="0"/>
          <w:i w:val="0"/>
          <w:sz w:val="21"/>
        </w:rPr>
        <w:t>Пользователь своевременно сообщает о проблеме и предоставляет минимальные данные для диагностики.</w:t>
      </w:r>
    </w:p>
    <w:p>
      <w:pPr>
        <w:pStyle w:val="Heading1"/>
      </w:pPr>
      <w:r>
        <w:t>11. Отказ от договора и возврат</w:t>
      </w:r>
    </w:p>
    <w:p>
      <w:pPr>
        <w:spacing w:before="0" w:after="100" w:line="269" w:lineRule="auto"/>
      </w:pPr>
      <w:r>
        <w:rPr>
          <w:rFonts w:ascii="Liberation Sans" w:hAnsi="Liberation Sans" w:eastAsia="Liberation Sans"/>
          <w:b w:val="0"/>
          <w:i w:val="0"/>
          <w:sz w:val="21"/>
        </w:rPr>
        <w:t>11.1. Потребитель вправе отказаться от договора в любое время с оплатой Исполнителю фактически понесённых расходов, связанных с исполнением конкретного заказа. Расчёт производится с учётом фактически предоставленной части длящейся услуги и обязательных норм закона.</w:t>
      </w:r>
    </w:p>
    <w:p>
      <w:pPr>
        <w:spacing w:before="0" w:after="100" w:line="269" w:lineRule="auto"/>
      </w:pPr>
      <w:r>
        <w:t>11.2. Пользователь направляет заявление на support@joyjoybots.ru с номером Заказа, причиной и реквизитами, необходимыми для идентификации платежа. Сумма определяется с учётом фактически предоставленной части длящейся услуги и документально подтверждённых расходов, если иное не требуется законом.</w:t>
      </w:r>
    </w:p>
    <w:p>
      <w:pPr>
        <w:spacing w:before="0" w:after="100" w:line="269" w:lineRule="auto"/>
      </w:pPr>
      <w:r>
        <w:rPr>
          <w:rFonts w:ascii="Liberation Sans" w:hAnsi="Liberation Sans" w:eastAsia="Liberation Sans"/>
          <w:b w:val="0"/>
          <w:i w:val="0"/>
          <w:sz w:val="21"/>
        </w:rPr>
        <w:t>11.3. Если доступ не был активирован по вине Исполнителя либо фактически не предоставлялся, пользователь вправе требовать полный возврат соответствующей оплаты или повторную активацию по своему выбору, если иное не следует из закона.</w:t>
      </w:r>
    </w:p>
    <w:p>
      <w:pPr>
        <w:spacing w:before="0" w:after="100" w:line="269" w:lineRule="auto"/>
      </w:pPr>
      <w:r>
        <w:t>11.4. Закрытие неоплаченного Заказа и отключение автопродления не являются возвратом. Они прекращают только будущие списания. Вопрос возврата по уже подтверждённому платежу рассматривается отдельно.</w:t>
      </w:r>
    </w:p>
    <w:p>
      <w:pPr>
        <w:spacing w:before="0" w:after="100" w:line="269" w:lineRule="auto"/>
      </w:pPr>
      <w:r>
        <w:rPr>
          <w:rFonts w:ascii="Liberation Sans" w:hAnsi="Liberation Sans" w:eastAsia="Liberation Sans"/>
          <w:b w:val="0"/>
          <w:i w:val="0"/>
          <w:sz w:val="21"/>
        </w:rPr>
        <w:t>11.5. Заявление направляется на support@joyjoybots.ru и содержит email аккаунта, ID пользователя/сервера Lolka, номер заказа, дату и сумму платежа и требование. Полный номер карты и CVC/CVV не запрашиваются.</w:t>
      </w:r>
    </w:p>
    <w:p>
      <w:pPr>
        <w:spacing w:before="0" w:after="100" w:line="269" w:lineRule="auto"/>
      </w:pPr>
      <w:r>
        <w:rPr>
          <w:rFonts w:ascii="Liberation Sans" w:hAnsi="Liberation Sans" w:eastAsia="Liberation Sans"/>
          <w:b w:val="0"/>
          <w:i w:val="0"/>
          <w:sz w:val="21"/>
        </w:rPr>
        <w:t>11.6. Требования рассматриваются в сроки, установленные законодательством. Возврат обычно выполняется исходным способом; срок зачисления зависит от банка и платёжного оператора.</w:t>
      </w:r>
    </w:p>
    <w:p>
      <w:pPr>
        <w:pStyle w:val="Heading1"/>
      </w:pPr>
      <w:r>
        <w:t>12. Качество и Alpha/Beta</w:t>
      </w:r>
    </w:p>
    <w:p>
      <w:pPr>
        <w:spacing w:before="0" w:after="100" w:line="269" w:lineRule="auto"/>
      </w:pPr>
      <w:r>
        <w:rPr>
          <w:rFonts w:ascii="Liberation Sans" w:hAnsi="Liberation Sans" w:eastAsia="Liberation Sans"/>
          <w:b w:val="0"/>
          <w:i w:val="0"/>
          <w:sz w:val="21"/>
        </w:rPr>
        <w:t>Кратковременные технические перерывы сами по себе не означают полного неоказания услуги. Существенность оценивается по длительности, масштабу и влиянию на оплаченные функции. Экспериментальный статус Alpha/Beta не отменяет обязательные права пользователя, если функция является существенной характеристикой оплаченного заказа.</w:t>
      </w:r>
    </w:p>
    <w:p>
      <w:pPr>
        <w:pStyle w:val="Heading1"/>
      </w:pPr>
      <w:r>
        <w:t>13. Интеллектуальная собственность</w:t>
      </w:r>
    </w:p>
    <w:p>
      <w:pPr>
        <w:spacing w:before="0" w:after="100" w:line="269" w:lineRule="auto"/>
      </w:pPr>
      <w:r>
        <w:rPr>
          <w:rFonts w:ascii="Liberation Sans" w:hAnsi="Liberation Sans" w:eastAsia="Liberation Sans"/>
          <w:b w:val="0"/>
          <w:i w:val="0"/>
          <w:sz w:val="21"/>
        </w:rPr>
        <w:t>Код, дизайн и материалы JoyJoy принадлежат Исполнителю или используются законно. Музыкальные произведения, фонограммы, обложки и обозначения третьих лиц принадлежат правообладателям. Оплата подписки не передаёт права на такой контент.</w:t>
      </w:r>
    </w:p>
    <w:p>
      <w:pPr>
        <w:pStyle w:val="Heading1"/>
      </w:pPr>
      <w:r>
        <w:t>14. Ответственность</w:t>
      </w:r>
    </w:p>
    <w:p>
      <w:pPr>
        <w:spacing w:before="0" w:after="100" w:line="269" w:lineRule="auto"/>
      </w:pPr>
      <w:r>
        <w:rPr>
          <w:rFonts w:ascii="Liberation Sans" w:hAnsi="Liberation Sans" w:eastAsia="Liberation Sans"/>
          <w:b w:val="0"/>
          <w:i w:val="0"/>
          <w:sz w:val="21"/>
        </w:rPr>
        <w:t>Стороны отвечают по законодательству Российской Федерации. Исполнитель не отвечает за устройство, связь, отсутствие прав на сервере или независимые решения Lolka, но сохраняет ответственность за собственные обязательства. Никакое ограничение не применяется, если оно запрещено законом.</w:t>
      </w:r>
    </w:p>
    <w:p>
      <w:pPr>
        <w:pStyle w:val="Heading1"/>
      </w:pPr>
      <w:r>
        <w:t>15. Изменение Оферты</w:t>
      </w:r>
    </w:p>
    <w:p>
      <w:pPr>
        <w:spacing w:before="0" w:after="100" w:line="269" w:lineRule="auto"/>
      </w:pPr>
      <w:r>
        <w:t>Новая редакция публикуется с датой и применяется к будущим Заказам. К уже оплаченному периоду применяется редакция на момент оплаты, если новая редакция не улучшает положение пользователя, не требуется законом или не содержит технических уточнений без уменьшения оплаченного объёма.</w:t>
      </w:r>
    </w:p>
    <w:p>
      <w:pPr>
        <w:pStyle w:val="Heading1"/>
      </w:pPr>
      <w:r>
        <w:t>16. Обращения и споры</w:t>
      </w:r>
    </w:p>
    <w:p>
      <w:pPr>
        <w:spacing w:before="0" w:after="100" w:line="269" w:lineRule="auto"/>
      </w:pPr>
      <w:r>
        <w:rPr>
          <w:rFonts w:ascii="Liberation Sans" w:hAnsi="Liberation Sans" w:eastAsia="Liberation Sans"/>
          <w:b w:val="0"/>
          <w:i w:val="0"/>
          <w:sz w:val="21"/>
        </w:rPr>
        <w:t>Обращения направляются на support@joyjoybots.ru. Стороны стремятся урегулировать спор переговорами. Потребитель вправе обращаться в государственные органы и суд по правилам, установленным законом. К договору применяется право Российской Федерации.</w:t>
      </w:r>
    </w:p>
    <w:p>
      <w:pPr>
        <w:pStyle w:val="Heading1"/>
      </w:pPr>
      <w:r>
        <w:t>17. Реквизиты</w:t>
      </w:r>
    </w:p>
    <w:tbl>
      <w:tblPr>
        <w:tblStyle w:val="TableGrid"/>
        <w:tblW w:type="auto" w:w="0"/>
        <w:jc w:val="center"/>
        <w:tblLayout w:type="fixed"/>
        <w:tblLook w:firstColumn="1" w:firstRow="1" w:lastColumn="0" w:lastRow="0" w:noHBand="0" w:noVBand="1" w:val="04A0"/>
      </w:tblPr>
      <w:tblGrid>
        <w:gridCol w:w="4961"/>
        <w:gridCol w:w="4961"/>
      </w:tblGrid>
      <w:tr>
        <w:trPr>
          <w:tblHeader w:val="true"/>
        </w:trPr>
        <w:tc>
          <w:tcPr>
            <w:tcW w:type="dxa" w:w="2835"/>
            <w:shd w:fill="EAF3FA"/>
            <w:tcMar>
              <w:top w:w="85" w:type="dxa"/>
              <w:start w:w="95" w:type="dxa"/>
              <w:bottom w:w="85" w:type="dxa"/>
              <w:end w:w="95" w:type="dxa"/>
            </w:tcMar>
            <w:vAlign w:val="center"/>
          </w:tcPr>
          <w:p>
            <w:r>
              <w:rPr>
                <w:rFonts w:ascii="Liberation Sans" w:hAnsi="Liberation Sans" w:eastAsia="Liberation Sans"/>
                <w:b/>
                <w:i w:val="0"/>
                <w:color w:val="173E6A"/>
                <w:sz w:val="18"/>
              </w:rPr>
              <w:t>Параметр</w:t>
            </w:r>
          </w:p>
        </w:tc>
        <w:tc>
          <w:tcPr>
            <w:tcW w:type="dxa" w:w="6860"/>
            <w:shd w:fill="EAF3FA"/>
            <w:tcMar>
              <w:top w:w="85" w:type="dxa"/>
              <w:start w:w="95" w:type="dxa"/>
              <w:bottom w:w="85" w:type="dxa"/>
              <w:end w:w="95" w:type="dxa"/>
            </w:tcMar>
            <w:vAlign w:val="center"/>
          </w:tcPr>
          <w:p>
            <w:r>
              <w:rPr>
                <w:rFonts w:ascii="Liberation Sans" w:hAnsi="Liberation Sans" w:eastAsia="Liberation Sans"/>
                <w:b/>
                <w:i w:val="0"/>
                <w:color w:val="173E6A"/>
                <w:sz w:val="18"/>
              </w:rPr>
              <w:t>Содержание</w:t>
            </w:r>
          </w:p>
        </w:tc>
      </w:tr>
      <w:tr>
        <w:tc>
          <w:tcPr>
            <w:tcW w:type="dxa" w:w="2835"/>
            <w:tcMar>
              <w:top w:w="80" w:type="dxa"/>
              <w:start w:w="95" w:type="dxa"/>
              <w:bottom w:w="80" w:type="dxa"/>
              <w:end w:w="95" w:type="dxa"/>
            </w:tcMar>
            <w:vAlign w:val="top"/>
          </w:tcPr>
          <w:p>
            <w:r>
              <w:rPr>
                <w:rFonts w:ascii="Liberation Sans" w:hAnsi="Liberation Sans" w:eastAsia="Liberation Sans"/>
                <w:b w:val="0"/>
                <w:i w:val="0"/>
                <w:sz w:val="18"/>
              </w:rPr>
              <w:t>Исполнитель</w:t>
            </w:r>
          </w:p>
        </w:tc>
        <w:tc>
          <w:tcPr>
            <w:tcW w:type="dxa" w:w="6860"/>
            <w:tcMar>
              <w:top w:w="80" w:type="dxa"/>
              <w:start w:w="95" w:type="dxa"/>
              <w:bottom w:w="80" w:type="dxa"/>
              <w:end w:w="95" w:type="dxa"/>
            </w:tcMar>
            <w:vAlign w:val="top"/>
          </w:tcPr>
          <w:p>
            <w:r>
              <w:rPr>
                <w:rFonts w:ascii="Liberation Sans" w:hAnsi="Liberation Sans" w:eastAsia="Liberation Sans"/>
                <w:b w:val="0"/>
                <w:i w:val="0"/>
                <w:sz w:val="18"/>
              </w:rPr>
              <w:t>Исаева Надия Фазыловна</w:t>
            </w:r>
          </w:p>
        </w:tc>
      </w:tr>
      <w:tr>
        <w:tc>
          <w:tcPr>
            <w:tcW w:type="dxa" w:w="2835"/>
            <w:tcMar>
              <w:top w:w="80" w:type="dxa"/>
              <w:start w:w="95" w:type="dxa"/>
              <w:bottom w:w="80" w:type="dxa"/>
              <w:end w:w="95" w:type="dxa"/>
            </w:tcMar>
            <w:vAlign w:val="top"/>
          </w:tcPr>
          <w:p>
            <w:r>
              <w:rPr>
                <w:rFonts w:ascii="Liberation Sans" w:hAnsi="Liberation Sans" w:eastAsia="Liberation Sans"/>
                <w:b w:val="0"/>
                <w:i w:val="0"/>
                <w:sz w:val="18"/>
              </w:rPr>
              <w:t>Статус</w:t>
            </w:r>
          </w:p>
        </w:tc>
        <w:tc>
          <w:tcPr>
            <w:tcW w:type="dxa" w:w="6860"/>
            <w:tcMar>
              <w:top w:w="80" w:type="dxa"/>
              <w:start w:w="95" w:type="dxa"/>
              <w:bottom w:w="80" w:type="dxa"/>
              <w:end w:w="95" w:type="dxa"/>
            </w:tcMar>
            <w:vAlign w:val="top"/>
          </w:tcPr>
          <w:p>
            <w:r>
              <w:rPr>
                <w:rFonts w:ascii="Liberation Sans" w:hAnsi="Liberation Sans" w:eastAsia="Liberation Sans"/>
                <w:b w:val="0"/>
                <w:i w:val="0"/>
                <w:sz w:val="18"/>
              </w:rPr>
              <w:t>Плательщик налога на профессиональный доход (самозанятая)</w:t>
            </w:r>
          </w:p>
        </w:tc>
      </w:tr>
      <w:tr>
        <w:tc>
          <w:tcPr>
            <w:tcW w:type="dxa" w:w="2835"/>
            <w:tcMar>
              <w:top w:w="80" w:type="dxa"/>
              <w:start w:w="95" w:type="dxa"/>
              <w:bottom w:w="80" w:type="dxa"/>
              <w:end w:w="95" w:type="dxa"/>
            </w:tcMar>
            <w:vAlign w:val="top"/>
          </w:tcPr>
          <w:p>
            <w:r>
              <w:rPr>
                <w:rFonts w:ascii="Liberation Sans" w:hAnsi="Liberation Sans" w:eastAsia="Liberation Sans"/>
                <w:b w:val="0"/>
                <w:i w:val="0"/>
                <w:sz w:val="18"/>
              </w:rPr>
              <w:t>ИНН</w:t>
            </w:r>
          </w:p>
        </w:tc>
        <w:tc>
          <w:tcPr>
            <w:tcW w:type="dxa" w:w="6860"/>
            <w:tcMar>
              <w:top w:w="80" w:type="dxa"/>
              <w:start w:w="95" w:type="dxa"/>
              <w:bottom w:w="80" w:type="dxa"/>
              <w:end w:w="95" w:type="dxa"/>
            </w:tcMar>
            <w:vAlign w:val="top"/>
          </w:tcPr>
          <w:p>
            <w:r>
              <w:rPr>
                <w:rFonts w:ascii="Liberation Sans" w:hAnsi="Liberation Sans" w:eastAsia="Liberation Sans"/>
                <w:b w:val="0"/>
                <w:i w:val="0"/>
                <w:sz w:val="18"/>
              </w:rPr>
              <w:t>772470176923</w:t>
            </w:r>
          </w:p>
        </w:tc>
      </w:tr>
      <w:tr>
        <w:tc>
          <w:tcPr>
            <w:tcW w:type="dxa" w:w="2835"/>
            <w:tcMar>
              <w:top w:w="80" w:type="dxa"/>
              <w:start w:w="95" w:type="dxa"/>
              <w:bottom w:w="80" w:type="dxa"/>
              <w:end w:w="95" w:type="dxa"/>
            </w:tcMar>
            <w:vAlign w:val="top"/>
          </w:tcPr>
          <w:p>
            <w:r>
              <w:rPr>
                <w:rFonts w:ascii="Liberation Sans" w:hAnsi="Liberation Sans" w:eastAsia="Liberation Sans"/>
                <w:b w:val="0"/>
                <w:i w:val="0"/>
                <w:sz w:val="18"/>
              </w:rPr>
              <w:t>Сайт</w:t>
            </w:r>
          </w:p>
        </w:tc>
        <w:tc>
          <w:tcPr>
            <w:tcW w:type="dxa" w:w="6860"/>
            <w:tcMar>
              <w:top w:w="80" w:type="dxa"/>
              <w:start w:w="95" w:type="dxa"/>
              <w:bottom w:w="80" w:type="dxa"/>
              <w:end w:w="95" w:type="dxa"/>
            </w:tcMar>
            <w:vAlign w:val="top"/>
          </w:tcPr>
          <w:p>
            <w:r>
              <w:rPr>
                <w:rFonts w:ascii="Liberation Sans" w:hAnsi="Liberation Sans" w:eastAsia="Liberation Sans"/>
                <w:b w:val="0"/>
                <w:i w:val="0"/>
                <w:sz w:val="18"/>
              </w:rPr>
              <w:t>https://tunetune.ru</w:t>
            </w:r>
          </w:p>
        </w:tc>
      </w:tr>
      <w:tr>
        <w:tc>
          <w:tcPr>
            <w:tcW w:type="dxa" w:w="2835"/>
            <w:tcMar>
              <w:top w:w="80" w:type="dxa"/>
              <w:start w:w="95" w:type="dxa"/>
              <w:bottom w:w="80" w:type="dxa"/>
              <w:end w:w="95" w:type="dxa"/>
            </w:tcMar>
            <w:vAlign w:val="top"/>
          </w:tcPr>
          <w:p>
            <w:r>
              <w:rPr>
                <w:rFonts w:ascii="Liberation Sans" w:hAnsi="Liberation Sans" w:eastAsia="Liberation Sans"/>
                <w:b w:val="0"/>
                <w:i w:val="0"/>
                <w:sz w:val="18"/>
              </w:rPr>
              <w:t>Электронная почта</w:t>
            </w:r>
          </w:p>
        </w:tc>
        <w:tc>
          <w:tcPr>
            <w:tcW w:type="dxa" w:w="6860"/>
            <w:tcMar>
              <w:top w:w="80" w:type="dxa"/>
              <w:start w:w="95" w:type="dxa"/>
              <w:bottom w:w="80" w:type="dxa"/>
              <w:end w:w="95" w:type="dxa"/>
            </w:tcMar>
            <w:vAlign w:val="top"/>
          </w:tcPr>
          <w:p>
            <w:r>
              <w:rPr>
                <w:rFonts w:ascii="Liberation Sans" w:hAnsi="Liberation Sans" w:eastAsia="Liberation Sans"/>
                <w:b w:val="0"/>
                <w:i w:val="0"/>
                <w:sz w:val="18"/>
              </w:rPr>
              <w:t>support@joyjoybots.ru</w:t>
            </w:r>
          </w:p>
        </w:tc>
      </w:tr>
      <w:tr>
        <w:tc>
          <w:tcPr>
            <w:tcW w:type="dxa" w:w="2835"/>
            <w:tcMar>
              <w:top w:w="80" w:type="dxa"/>
              <w:start w:w="95" w:type="dxa"/>
              <w:bottom w:w="80" w:type="dxa"/>
              <w:end w:w="95" w:type="dxa"/>
            </w:tcMar>
            <w:vAlign w:val="top"/>
          </w:tcPr>
          <w:p>
            <w:r>
              <w:rPr>
                <w:rFonts w:ascii="Liberation Sans" w:hAnsi="Liberation Sans" w:eastAsia="Liberation Sans"/>
                <w:b w:val="0"/>
                <w:i w:val="0"/>
                <w:sz w:val="18"/>
              </w:rPr>
              <w:t>Телефон</w:t>
            </w:r>
          </w:p>
        </w:tc>
        <w:tc>
          <w:tcPr>
            <w:tcW w:type="dxa" w:w="6860"/>
            <w:tcMar>
              <w:top w:w="80" w:type="dxa"/>
              <w:start w:w="95" w:type="dxa"/>
              <w:bottom w:w="80" w:type="dxa"/>
              <w:end w:w="95" w:type="dxa"/>
            </w:tcMar>
            <w:vAlign w:val="top"/>
          </w:tcPr>
          <w:p>
            <w:r>
              <w:rPr>
                <w:rFonts w:ascii="Liberation Sans" w:hAnsi="Liberation Sans" w:eastAsia="Liberation Sans"/>
                <w:b w:val="0"/>
                <w:i w:val="0"/>
                <w:sz w:val="18"/>
              </w:rPr>
              <w:t>+7 977 317-24-64</w:t>
            </w:r>
          </w:p>
        </w:tc>
      </w:tr>
      <w:tr>
        <w:tc>
          <w:tcPr>
            <w:tcW w:type="dxa" w:w="2835"/>
            <w:tcMar>
              <w:top w:w="80" w:type="dxa"/>
              <w:start w:w="95" w:type="dxa"/>
              <w:bottom w:w="80" w:type="dxa"/>
              <w:end w:w="95" w:type="dxa"/>
            </w:tcMar>
            <w:vAlign w:val="top"/>
          </w:tcPr>
          <w:p>
            <w:r>
              <w:rPr>
                <w:rFonts w:ascii="Liberation Sans" w:hAnsi="Liberation Sans" w:eastAsia="Liberation Sans"/>
                <w:b w:val="0"/>
                <w:i w:val="0"/>
                <w:sz w:val="18"/>
              </w:rPr>
              <w:t>Почтовый адрес</w:t>
            </w:r>
          </w:p>
        </w:tc>
        <w:tc>
          <w:tcPr>
            <w:tcW w:type="dxa" w:w="6860"/>
            <w:tcMar>
              <w:top w:w="80" w:type="dxa"/>
              <w:start w:w="95" w:type="dxa"/>
              <w:bottom w:w="80" w:type="dxa"/>
              <w:end w:w="95" w:type="dxa"/>
            </w:tcMar>
            <w:vAlign w:val="top"/>
          </w:tcPr>
          <w:p>
            <w:r>
              <w:rPr>
                <w:rFonts w:ascii="Liberation Sans" w:hAnsi="Liberation Sans" w:eastAsia="Liberation Sans"/>
                <w:b w:val="0"/>
                <w:i w:val="0"/>
                <w:sz w:val="18"/>
              </w:rPr>
              <w:t>[УКАЗАТЬ ПОЧТОВЫЙ АДРЕС ДЛЯ ЮРИДИЧЕСКИ ЗНАЧИМЫХ СООБЩЕНИЙ]</w:t>
            </w:r>
          </w:p>
        </w:tc>
      </w:tr>
    </w:tbl>
    <w:p>
      <w:pPr>
        <w:spacing w:after="20"/>
      </w:pPr>
    </w:p>
    <w:sectPr w:rsidR="00FC693F" w:rsidRPr="0006063C" w:rsidSect="00034616">
      <w:headerReference w:type="default" r:id="rId9"/>
      <w:footerReference w:type="default" r:id="rId10"/>
      <w:pgSz w:w="11906" w:h="16838"/>
      <w:pgMar w:top="935" w:right="992" w:bottom="907" w:left="992"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Редакция 22.07.2026  •  https://tunetune.ru  •  support@joyjoybots.ru  •  Стр. </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eastAsia="Liberation Sans"/>
        <w:b w:val="0"/>
        <w:i w:val="0"/>
        <w:color w:val="6D737A"/>
        <w:sz w:val="17"/>
      </w:rPr>
      <w:t>TuneTune / JoyJoy  •  Юридические документы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Liberation Sans" w:hAnsi="Liberation Sans" w:eastAsia="Liberation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Liberation Sans" w:hAnsi="Liberation Sans" w:eastAsia="Liberation Sans"/>
      <w:b/>
      <w:bCs/>
      <w:color w:val="173E6A"/>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Liberation Sans" w:hAnsi="Liberation Sans" w:eastAsia="Liberation Sans"/>
      <w:b/>
      <w:bCs/>
      <w:color w:val="2A78C5"/>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Liberation Sans" w:hAnsi="Liberation Sans" w:eastAsia="Liberation Sans"/>
      <w:b/>
      <w:bCs/>
      <w:color w:val="173E6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Liberation Sans" w:hAnsi="Liberation Sans" w:eastAsia="Liberation Sans"/>
      <w:b/>
      <w:color w:val="173E6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Bullet">
    <w:name w:val="Legal Bullet"/>
    <w:basedOn w:val="Normal"/>
    <w:pPr>
      <w:spacing w:after="50"/>
      <w:ind w:left="312" w:hanging="159"/>
    </w:pPr>
    <w:rPr>
      <w:rFonts w:ascii="Liberation Sans" w:hAnsi="Liberation Sans"/>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